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0" w:after="240"/>
        <w:jc w:val="center"/>
      </w:pPr>
      <w:r>
        <w:rPr>
          <w:b/>
          <w:color w:val="141F1D"/>
          <w:sz w:val="68"/>
        </w:rPr>
        <w:t>SpaceOnne</w:t>
      </w:r>
    </w:p>
    <w:p>
      <w:pPr>
        <w:spacing w:after="360"/>
        <w:jc w:val="center"/>
      </w:pPr>
      <w:r>
        <w:rPr>
          <w:b/>
          <w:color w:val="1F4D78"/>
          <w:sz w:val="36"/>
        </w:rPr>
        <w:t>Whitepaper</w:t>
      </w:r>
    </w:p>
    <w:p>
      <w:pPr>
        <w:spacing w:after="160"/>
        <w:jc w:val="center"/>
      </w:pPr>
      <w:r>
        <w:rPr>
          <w:color w:val="5D6F6A"/>
          <w:sz w:val="26"/>
        </w:rPr>
        <w:t>Digital space is an ecosystem asset</w:t>
      </w:r>
    </w:p>
    <w:p>
      <w:pPr>
        <w:spacing w:after="840"/>
        <w:jc w:val="center"/>
      </w:pPr>
      <w:r>
        <w:rPr>
          <w:color w:val="5D6F6A"/>
          <w:sz w:val="21"/>
        </w:rPr>
        <w:t>Version: September 11, 2026</w:t>
      </w:r>
    </w:p>
    <w:tbl>
      <w:tblPr>
        <w:tblW w:type="auto" w:w="0"/>
        <w:jc w:val="center"/>
        <w:tblLayout w:type="fixed"/>
        <w:tblLook w:firstColumn="1" w:firstRow="1" w:lastColumn="0" w:lastRow="0" w:noHBand="0" w:noVBand="1" w:val="04A0"/>
      </w:tblPr>
      <w:tblGrid>
        <w:gridCol w:w="9360"/>
      </w:tblGrid>
      <w:tr>
        <w:tc>
          <w:tcPr>
            <w:tcW w:type="dxa" w:w="9360"/>
            <w:shd w:fill="EAF7F0"/>
            <w:tcBorders>
              <w:top w:val="single" w:sz="6" w:space="0" w:color="BBDDCF"/>
              <w:left w:val="single" w:sz="6" w:space="0" w:color="BBDDCF"/>
              <w:bottom w:val="single" w:sz="6" w:space="0" w:color="BBDDCF"/>
              <w:right w:val="single" w:sz="6" w:space="0" w:color="BBDDCF"/>
            </w:tcBorders>
          </w:tcPr>
          <w:p>
            <w:pPr>
              <w:spacing w:before="100" w:after="60"/>
            </w:pPr>
            <w:r>
              <w:rPr>
                <w:b/>
                <w:color w:val="1F9970"/>
                <w:sz w:val="20"/>
              </w:rPr>
              <w:t>In one sentence</w:t>
            </w:r>
          </w:p>
          <w:p>
            <w:pPr>
              <w:spacing w:after="100"/>
            </w:pPr>
            <w:r>
              <w:t>SpaceOnne combines Atlas mapping, a wallet, market tools, Protocol 101, and community features. Atlas is designed so that participant contributions update shared digital space and accepted useful work may take part in ONNE mechanics when the relevant mode is enabled in the interface.</w:t>
            </w:r>
          </w:p>
        </w:tc>
      </w:tr>
    </w:tbl>
    <w:p>
      <w:r>
        <w:br w:type="page"/>
      </w:r>
    </w:p>
    <w:p>
      <w:pPr>
        <w:pStyle w:val="Heading1"/>
      </w:pPr>
      <w:r>
        <w:t>1. Executive summary</w:t>
      </w:r>
    </w:p>
    <w:p>
      <w:r>
        <w:t>SpaceOnne is one application with Home, Atlas, Wallet, Buy/Sell, and Chat sections. It connects cartographic digital space, ONNE, Protocol 101, a wallet, market tools, and community features.</w:t>
      </w:r>
    </w:p>
    <w:p>
      <w:r>
        <w:t>Atlas is based on decentralized map updates by many participants. Its target loop is data capture, review, inclusion of accepted contributions in digital space, and economic rewards when a reward mode is enabled for the relevant workflow.</w:t>
      </w:r>
    </w:p>
    <w:p>
      <w:r>
        <w:t>The public Atlas experience is being introduced in stages. The map, product education, and selected workflows may be available before production validation and real rewards. The application interface is the source of truth for current availability.</w:t>
      </w:r>
    </w:p>
    <w:p>
      <w:pPr>
        <w:pStyle w:val="Heading1"/>
      </w:pPr>
      <w:r>
        <w:t>2. Product idea</w:t>
      </w:r>
    </w:p>
    <w:p>
      <w:r>
        <w:t>Most mapping and spatial-data products are built by centralized operators. Users and contractors create activity in the real world, but the economic value of that activity usually flows to other market participants. SpaceOnne reverses that flow: people who create useful spatial content participate in the economy of the digital asset that this content supports.</w:t>
      </w:r>
    </w:p>
    <w:p>
      <w:pPr>
        <w:pStyle w:val="ListBullet"/>
        <w:spacing w:after="80"/>
      </w:pPr>
      <w:r>
        <w:t>The model may cover points, routes, photospheres, images, metadata, and other supported proof of completion.</w:t>
      </w:r>
    </w:p>
    <w:p>
      <w:pPr>
        <w:pStyle w:val="ListBullet"/>
        <w:spacing w:after="80"/>
      </w:pPr>
      <w:r>
        <w:t>Participants can create and update data where they live and move, improving the speed, scale, and freshness of the digital map.</w:t>
      </w:r>
    </w:p>
    <w:p>
      <w:pPr>
        <w:pStyle w:val="ListBullet"/>
        <w:spacing w:after="80"/>
      </w:pPr>
      <w:r>
        <w:t>Quality may be supported by technical checks, automated review, and collective validation where those stages are enabled.</w:t>
      </w:r>
    </w:p>
    <w:p>
      <w:pPr>
        <w:pStyle w:val="ListBullet"/>
        <w:spacing w:after="80"/>
      </w:pPr>
      <w:r>
        <w:t>An accepted contribution may become part of the shared map and data layer, forming a digital ecosystem asset.</w:t>
      </w:r>
    </w:p>
    <w:tbl>
      <w:tblPr>
        <w:tblW w:type="auto" w:w="0"/>
        <w:jc w:val="center"/>
        <w:tblLayout w:type="fixed"/>
        <w:tblLook w:firstColumn="1" w:firstRow="1" w:lastColumn="0" w:lastRow="0" w:noHBand="0" w:noVBand="1" w:val="04A0"/>
      </w:tblPr>
      <w:tblGrid>
        <w:gridCol w:w="9360"/>
      </w:tblGrid>
      <w:tr>
        <w:tc>
          <w:tcPr>
            <w:tcW w:type="dxa" w:w="9360"/>
            <w:shd w:fill="EAF7F0"/>
            <w:tcBorders>
              <w:top w:val="single" w:sz="6" w:space="0" w:color="BBDDCF"/>
              <w:left w:val="single" w:sz="6" w:space="0" w:color="BBDDCF"/>
              <w:bottom w:val="single" w:sz="6" w:space="0" w:color="BBDDCF"/>
              <w:right w:val="single" w:sz="6" w:space="0" w:color="BBDDCF"/>
            </w:tcBorders>
          </w:tcPr>
          <w:p>
            <w:pPr>
              <w:spacing w:before="100" w:after="60"/>
            </w:pPr>
            <w:r>
              <w:rPr>
                <w:b/>
                <w:color w:val="1F9970"/>
                <w:sz w:val="20"/>
              </w:rPr>
              <w:t>Positioning</w:t>
            </w:r>
          </w:p>
          <w:p>
            <w:pPr>
              <w:spacing w:after="100"/>
            </w:pPr>
            <w:r>
              <w:t>The utility of the ONNE ecosystem is connected to the usefulness, scale, quality, and freshness of the digital space being created. This is a product model, not a promise of market price or income.</w:t>
            </w:r>
          </w:p>
        </w:tc>
      </w:tr>
    </w:tbl>
    <w:p>
      <w:pPr>
        <w:pStyle w:val="Heading1"/>
      </w:pPr>
      <w:r>
        <w:t>3. Ecosystem architecture</w:t>
      </w:r>
    </w:p>
    <w:tbl>
      <w:tblPr>
        <w:tblW w:type="auto" w:w="0"/>
        <w:jc w:val="center"/>
        <w:tblLayout w:type="fixed"/>
        <w:tblLook w:firstColumn="1" w:firstRow="1" w:lastColumn="0" w:lastRow="0" w:noHBand="0" w:noVBand="1" w:val="04A0"/>
      </w:tblPr>
      <w:tblGrid>
        <w:gridCol w:w="3120"/>
        <w:gridCol w:w="3120"/>
        <w:gridCol w:w="3120"/>
      </w:tblGrid>
      <w:tr>
        <w:trPr>
          <w:tblHeader w:val="true"/>
        </w:trPr>
        <w:tc>
          <w:tcPr>
            <w:tcW w:type="dxa" w:w="1944"/>
            <w:vAlign w:val="center"/>
            <w:shd w:fill="EAF3FA"/>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color w:val="1F4D78"/>
                <w:sz w:val="19"/>
              </w:rPr>
              <w:t>Layer</w:t>
            </w:r>
          </w:p>
        </w:tc>
        <w:tc>
          <w:tcPr>
            <w:tcW w:type="dxa" w:w="3384"/>
            <w:vAlign w:val="center"/>
            <w:shd w:fill="EAF3FA"/>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color w:val="1F4D78"/>
                <w:sz w:val="19"/>
              </w:rPr>
              <w:t>Role</w:t>
            </w:r>
          </w:p>
        </w:tc>
        <w:tc>
          <w:tcPr>
            <w:tcW w:type="dxa" w:w="4032"/>
            <w:vAlign w:val="center"/>
            <w:shd w:fill="EAF3FA"/>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color w:val="1F4D78"/>
                <w:sz w:val="19"/>
              </w:rPr>
              <w:t>Value for the user</w:t>
            </w:r>
          </w:p>
        </w:tc>
      </w:tr>
      <w:tr>
        <w:trPr>
          <w:cantSplit/>
        </w:trPr>
        <w:tc>
          <w:tcPr>
            <w:tcW w:type="dxa" w:w="312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SpaceOnne</w:t>
            </w:r>
          </w:p>
        </w:tc>
        <w:tc>
          <w:tcPr>
            <w:tcW w:type="dxa" w:w="312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Unified product and brand</w:t>
            </w:r>
          </w:p>
        </w:tc>
        <w:tc>
          <w:tcPr>
            <w:tcW w:type="dxa" w:w="312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One ecosystem for ONNE, content, wallet, staking, and community</w:t>
            </w:r>
          </w:p>
        </w:tc>
      </w:tr>
      <w:tr>
        <w:trPr>
          <w:cantSplit/>
        </w:trPr>
        <w:tc>
          <w:tcPr>
            <w:tcW w:type="dxa" w:w="312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Atlas</w:t>
            </w:r>
          </w:p>
        </w:tc>
        <w:tc>
          <w:tcPr>
            <w:tcW w:type="dxa" w:w="312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Map and data layer</w:t>
            </w:r>
          </w:p>
        </w:tc>
        <w:tc>
          <w:tcPr>
            <w:tcW w:type="dxa" w:w="312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Tasks, routes, media, technical checks, and validation introduced in stages</w:t>
            </w:r>
          </w:p>
        </w:tc>
      </w:tr>
      <w:tr>
        <w:trPr>
          <w:cantSplit/>
        </w:trPr>
        <w:tc>
          <w:tcPr>
            <w:tcW w:type="dxa" w:w="312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Protocol 101</w:t>
            </w:r>
          </w:p>
        </w:tc>
        <w:tc>
          <w:tcPr>
            <w:tcW w:type="dxa" w:w="312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Staking and miner utility</w:t>
            </w:r>
          </w:p>
        </w:tc>
        <w:tc>
          <w:tcPr>
            <w:tcW w:type="dxa" w:w="312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ONNE staking; validation and reward roles as they are activated</w:t>
            </w:r>
          </w:p>
        </w:tc>
      </w:tr>
      <w:tr>
        <w:trPr>
          <w:cantSplit/>
        </w:trPr>
        <w:tc>
          <w:tcPr>
            <w:tcW w:type="dxa" w:w="312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Wallet</w:t>
            </w:r>
          </w:p>
        </w:tc>
        <w:tc>
          <w:tcPr>
            <w:tcW w:type="dxa" w:w="312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Asset operations</w:t>
            </w:r>
          </w:p>
        </w:tc>
        <w:tc>
          <w:tcPr>
            <w:tcW w:type="dxa" w:w="312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ONNE, GRAM (the TON native asset), USDT, and other supported assets</w:t>
            </w:r>
          </w:p>
        </w:tc>
      </w:tr>
      <w:tr>
        <w:trPr>
          <w:cantSplit/>
        </w:trPr>
        <w:tc>
          <w:tcPr>
            <w:tcW w:type="dxa" w:w="312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Community</w:t>
            </w:r>
          </w:p>
        </w:tc>
        <w:tc>
          <w:tcPr>
            <w:tcW w:type="dxa" w:w="312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Social layer</w:t>
            </w:r>
          </w:p>
        </w:tc>
        <w:tc>
          <w:tcPr>
            <w:tcW w:type="dxa" w:w="312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Chats, groups, achievements, and shared ecosystem activity</w:t>
            </w:r>
          </w:p>
        </w:tc>
      </w:tr>
    </w:tbl>
    <w:p>
      <w:pPr>
        <w:spacing w:after="40"/>
      </w:pPr>
    </w:p>
    <w:p>
      <w:pPr>
        <w:pStyle w:val="Heading1"/>
      </w:pPr>
      <w:r>
        <w:t>4. Atlas: staged proof flow</w:t>
      </w:r>
    </w:p>
    <w:p>
      <w:r>
        <w:t>Atlas is developing from the map and training workflows toward a complete capture, review, publication, and reward loop. The sequence below describes the target flow; it does not mean that every stage is already active for every user.</w:t>
      </w:r>
    </w:p>
    <w:p>
      <w:pPr>
        <w:pStyle w:val="ListBullet"/>
        <w:spacing w:after="80"/>
      </w:pPr>
      <w:r>
        <w:t>The interface shows the task types, modes, territories, and conditions currently available.</w:t>
      </w:r>
    </w:p>
    <w:p>
      <w:pPr>
        <w:pStyle w:val="ListBullet"/>
        <w:spacing w:after="80"/>
      </w:pPr>
      <w:r>
        <w:t>A participant captures supported data and proof according to the location, movement, media, and technical requirements shown for that task.</w:t>
      </w:r>
    </w:p>
    <w:p>
      <w:pPr>
        <w:pStyle w:val="ListBullet"/>
        <w:spacing w:after="80"/>
      </w:pPr>
      <w:r>
        <w:t>A result may undergo automated, AI-assisted, and/or collective review when the relevant review stage is enabled.</w:t>
      </w:r>
    </w:p>
    <w:p>
      <w:pPr>
        <w:pStyle w:val="ListBullet"/>
        <w:spacing w:after="80"/>
      </w:pPr>
      <w:r>
        <w:t>An accepted contribution may be processed, published, and included in the map and data layer.</w:t>
      </w:r>
    </w:p>
    <w:p>
      <w:pPr>
        <w:pStyle w:val="ListBullet"/>
        <w:spacing w:after="80"/>
      </w:pPr>
      <w:r>
        <w:t>ONNE rewards and validator commissions arise only when such mechanics are expressly enabled and displayed in the interface; training or test mode alone creates no right to a reward.</w:t>
      </w:r>
    </w:p>
    <w:p>
      <w:pPr>
        <w:pStyle w:val="Heading1"/>
      </w:pPr>
      <w:r>
        <w:t>5. Protocol 101 and miners</w:t>
      </w:r>
    </w:p>
    <w:p>
      <w:r>
        <w:t>Protocol 101 is the SpaceOnne staking layer. A digital miner is connected to staking mechanics. Additional Atlas validation and reward roles are introduced in stages and apply only where they are expressly shown in the application.</w:t>
      </w:r>
    </w:p>
    <w:p>
      <w:pPr>
        <w:pStyle w:val="ListBullet"/>
        <w:spacing w:after="80"/>
      </w:pPr>
      <w:r>
        <w:t>Staking utility: users place ONNE in staking and receive reward mechanics based on the miner level and current ecosystem rules.</w:t>
      </w:r>
    </w:p>
    <w:p>
      <w:pPr>
        <w:pStyle w:val="ListBullet"/>
        <w:spacing w:after="80"/>
      </w:pPr>
      <w:r>
        <w:t>Validation utility: miner owners may participate in Atlas review as that role is activated.</w:t>
      </w:r>
    </w:p>
    <w:p>
      <w:pPr>
        <w:pStyle w:val="ListBullet"/>
        <w:spacing w:after="80"/>
      </w:pPr>
      <w:r>
        <w:t>Commission utility: rewards for accepted validation arise only under the rules in effect at that time.</w:t>
      </w:r>
    </w:p>
    <w:p>
      <w:pPr>
        <w:pStyle w:val="ListBullet"/>
        <w:spacing w:after="80"/>
      </w:pPr>
      <w:r>
        <w:t>Deflationary utility: ONNE spent to purchase miners may be burned, reducing pressure on freely circulating supply.</w:t>
      </w:r>
    </w:p>
    <w:p>
      <w:pPr>
        <w:pStyle w:val="Heading1"/>
      </w:pPr>
      <w:r>
        <w:t>6. Wallet, assets, and community</w:t>
      </w:r>
    </w:p>
    <w:p>
      <w:r>
        <w:t>The wallet displays ONNE, GRAM (the native asset of the TON network), USDT, and other supported assets. Available deposits, withdrawals, transfers, exchange, and staking depend on the asset, network, region, and terms of external protocols and providers.</w:t>
      </w:r>
    </w:p>
    <w:p>
      <w:r>
        <w:t>The user independently selects and confirms each operation. SpaceOnne does not provide off-chain custody or discretionary management of assets for the user and does not initiate operations without the user’s instruction. Settlement designed for a blockchain is recorded on the applicable network.</w:t>
      </w:r>
    </w:p>
    <w:tbl>
      <w:tblPr>
        <w:tblW w:type="auto" w:w="0"/>
        <w:jc w:val="center"/>
        <w:tblLayout w:type="fixed"/>
        <w:tblLook w:firstColumn="1" w:firstRow="1" w:lastColumn="0" w:lastRow="0" w:noHBand="0" w:noVBand="1" w:val="04A0"/>
      </w:tblPr>
      <w:tblGrid>
        <w:gridCol w:w="4680"/>
        <w:gridCol w:w="4680"/>
      </w:tblGrid>
      <w:tr>
        <w:trPr>
          <w:tblHeader w:val="true"/>
        </w:trPr>
        <w:tc>
          <w:tcPr>
            <w:tcW w:type="dxa" w:w="3024"/>
            <w:vAlign w:val="center"/>
            <w:shd w:fill="EAF3FA"/>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color w:val="1F4D78"/>
                <w:sz w:val="19"/>
              </w:rPr>
              <w:t>Feature</w:t>
            </w:r>
          </w:p>
        </w:tc>
        <w:tc>
          <w:tcPr>
            <w:tcW w:type="dxa" w:w="6336"/>
            <w:vAlign w:val="center"/>
            <w:shd w:fill="EAF3FA"/>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color w:val="1F4D78"/>
                <w:sz w:val="19"/>
              </w:rPr>
              <w:t>Scope</w:t>
            </w:r>
          </w:p>
        </w:tc>
      </w:tr>
      <w:tr>
        <w:trPr>
          <w:cantSplit/>
        </w:trPr>
        <w:tc>
          <w:tcPr>
            <w:tcW w:type="dxa" w:w="468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Assets</w:t>
            </w:r>
          </w:p>
        </w:tc>
        <w:tc>
          <w:tcPr>
            <w:tcW w:type="dxa" w:w="468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ONNE, GRAM (TON network), USDT, and other supported assets</w:t>
            </w:r>
          </w:p>
        </w:tc>
      </w:tr>
      <w:tr>
        <w:trPr>
          <w:cantSplit/>
        </w:trPr>
        <w:tc>
          <w:tcPr>
            <w:tcW w:type="dxa" w:w="468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Deposits / withdrawals</w:t>
            </w:r>
          </w:p>
        </w:tc>
        <w:tc>
          <w:tcPr>
            <w:tcW w:type="dxa" w:w="468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Deposits from external addresses and withdrawals to external addresses where supported</w:t>
            </w:r>
          </w:p>
        </w:tc>
      </w:tr>
      <w:tr>
        <w:trPr>
          <w:cantSplit/>
        </w:trPr>
        <w:tc>
          <w:tcPr>
            <w:tcW w:type="dxa" w:w="468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Exchange tools</w:t>
            </w:r>
          </w:p>
        </w:tc>
        <w:tc>
          <w:tcPr>
            <w:tcW w:type="dxa" w:w="468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Asset exchange through decentralized tools within the application flow</w:t>
            </w:r>
          </w:p>
        </w:tc>
      </w:tr>
      <w:tr>
        <w:trPr>
          <w:cantSplit/>
        </w:trPr>
        <w:tc>
          <w:tcPr>
            <w:tcW w:type="dxa" w:w="468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Transfers</w:t>
            </w:r>
          </w:p>
        </w:tc>
        <w:tc>
          <w:tcPr>
            <w:tcW w:type="dxa" w:w="468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Operations initiated and confirmed by the user; availability and fees are shown before confirmation</w:t>
            </w:r>
          </w:p>
        </w:tc>
      </w:tr>
      <w:tr>
        <w:trPr>
          <w:cantSplit/>
        </w:trPr>
        <w:tc>
          <w:tcPr>
            <w:tcW w:type="dxa" w:w="468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Community</w:t>
            </w:r>
          </w:p>
        </w:tc>
        <w:tc>
          <w:tcPr>
            <w:tcW w:type="dxa" w:w="468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Chats, groups, activity sharing, and achievements</w:t>
            </w:r>
          </w:p>
        </w:tc>
      </w:tr>
    </w:tbl>
    <w:p>
      <w:pPr>
        <w:spacing w:after="40"/>
      </w:pPr>
    </w:p>
    <w:p>
      <w:pPr>
        <w:pStyle w:val="Heading1"/>
      </w:pPr>
      <w:r>
        <w:t>7. ONNE tokenomics</w:t>
      </w:r>
    </w:p>
    <w:p>
      <w:r>
        <w:t>ONNE is the SpaceOnne ecosystem token. It is used for rewards, staking, miner utility, validator commissions, and the economic connection between verified content and the digital spatial asset.</w:t>
      </w:r>
    </w:p>
    <w:tbl>
      <w:tblPr>
        <w:tblW w:type="auto" w:w="0"/>
        <w:jc w:val="center"/>
        <w:tblLayout w:type="fixed"/>
        <w:tblLook w:firstColumn="1" w:firstRow="1" w:lastColumn="0" w:lastRow="0" w:noHBand="0" w:noVBand="1" w:val="04A0"/>
      </w:tblPr>
      <w:tblGrid>
        <w:gridCol w:w="4680"/>
        <w:gridCol w:w="4680"/>
      </w:tblGrid>
      <w:tr>
        <w:trPr>
          <w:tblHeader w:val="true"/>
        </w:trPr>
        <w:tc>
          <w:tcPr>
            <w:tcW w:type="dxa" w:w="2880"/>
            <w:vAlign w:val="center"/>
            <w:shd w:fill="EAF3FA"/>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color w:val="1F4D78"/>
                <w:sz w:val="19"/>
              </w:rPr>
              <w:t>Metric</w:t>
            </w:r>
          </w:p>
        </w:tc>
        <w:tc>
          <w:tcPr>
            <w:tcW w:type="dxa" w:w="6480"/>
            <w:vAlign w:val="center"/>
            <w:shd w:fill="EAF3FA"/>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color w:val="1F4D78"/>
                <w:sz w:val="19"/>
              </w:rPr>
              <w:t>Value</w:t>
            </w:r>
          </w:p>
        </w:tc>
      </w:tr>
      <w:tr>
        <w:trPr>
          <w:cantSplit/>
        </w:trPr>
        <w:tc>
          <w:tcPr>
            <w:tcW w:type="dxa" w:w="468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Total supply</w:t>
            </w:r>
          </w:p>
        </w:tc>
        <w:tc>
          <w:tcPr>
            <w:tcW w:type="dxa" w:w="468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1,010,000,000 ONNE</w:t>
            </w:r>
          </w:p>
        </w:tc>
      </w:tr>
      <w:tr>
        <w:trPr>
          <w:cantSplit/>
        </w:trPr>
        <w:tc>
          <w:tcPr>
            <w:tcW w:type="dxa" w:w="468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Network</w:t>
            </w:r>
          </w:p>
        </w:tc>
        <w:tc>
          <w:tcPr>
            <w:tcW w:type="dxa" w:w="468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TON</w:t>
            </w:r>
          </w:p>
        </w:tc>
      </w:tr>
      <w:tr>
        <w:trPr>
          <w:cantSplit/>
        </w:trPr>
        <w:tc>
          <w:tcPr>
            <w:tcW w:type="dxa" w:w="468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Official contract</w:t>
            </w:r>
          </w:p>
        </w:tc>
        <w:tc>
          <w:tcPr>
            <w:tcW w:type="dxa" w:w="468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EQAhDhLYceb_BrItaTPK7U6Y4xLnEXsQO9iOILEz37CIcwFe</w:t>
            </w:r>
          </w:p>
        </w:tc>
      </w:tr>
    </w:tbl>
    <w:p>
      <w:pPr>
        <w:spacing w:after="40"/>
      </w:pPr>
    </w:p>
    <w:tbl>
      <w:tblPr>
        <w:tblW w:type="auto" w:w="0"/>
        <w:jc w:val="center"/>
        <w:tblLayout w:type="fixed"/>
        <w:tblLook w:firstColumn="1" w:firstRow="1" w:lastColumn="0" w:lastRow="0" w:noHBand="0" w:noVBand="1" w:val="04A0"/>
      </w:tblPr>
      <w:tblGrid>
        <w:gridCol w:w="2340"/>
        <w:gridCol w:w="2340"/>
        <w:gridCol w:w="2340"/>
        <w:gridCol w:w="2340"/>
      </w:tblGrid>
      <w:tr>
        <w:trPr>
          <w:tblHeader w:val="true"/>
        </w:trPr>
        <w:tc>
          <w:tcPr>
            <w:tcW w:type="dxa" w:w="2952"/>
            <w:vAlign w:val="center"/>
            <w:shd w:fill="EAF3FA"/>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color w:val="1F4D78"/>
                <w:sz w:val="19"/>
              </w:rPr>
              <w:t>Allocation pool</w:t>
            </w:r>
          </w:p>
        </w:tc>
        <w:tc>
          <w:tcPr>
            <w:tcW w:type="dxa" w:w="1656"/>
            <w:vAlign w:val="center"/>
            <w:shd w:fill="EAF3FA"/>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color w:val="1F4D78"/>
                <w:sz w:val="19"/>
              </w:rPr>
              <w:t>ONNE</w:t>
            </w:r>
          </w:p>
        </w:tc>
        <w:tc>
          <w:tcPr>
            <w:tcW w:type="dxa" w:w="1296"/>
            <w:vAlign w:val="center"/>
            <w:shd w:fill="EAF3FA"/>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color w:val="1F4D78"/>
                <w:sz w:val="19"/>
              </w:rPr>
              <w:t>% of supply</w:t>
            </w:r>
          </w:p>
        </w:tc>
        <w:tc>
          <w:tcPr>
            <w:tcW w:type="dxa" w:w="3456"/>
            <w:vAlign w:val="center"/>
            <w:shd w:fill="EAF3FA"/>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color w:val="1F4D78"/>
                <w:sz w:val="19"/>
              </w:rPr>
              <w:t>Purpose</w:t>
            </w:r>
          </w:p>
        </w:tc>
      </w:tr>
      <w:tr>
        <w:trPr>
          <w:cantSplit/>
        </w:trPr>
        <w:tc>
          <w:tcPr>
            <w:tcW w:type="dxa" w:w="234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Atlas / staking / rewards / ecosystem</w:t>
            </w:r>
          </w:p>
        </w:tc>
        <w:tc>
          <w:tcPr>
            <w:tcW w:type="dxa" w:w="234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300,000,000</w:t>
            </w:r>
          </w:p>
        </w:tc>
        <w:tc>
          <w:tcPr>
            <w:tcW w:type="dxa" w:w="234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29.703%</w:t>
            </w:r>
          </w:p>
        </w:tc>
        <w:tc>
          <w:tcPr>
            <w:tcW w:type="dxa" w:w="234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Tasks, Atlas, staking rewards, and ecosystem incentives</w:t>
            </w:r>
          </w:p>
        </w:tc>
      </w:tr>
      <w:tr>
        <w:trPr>
          <w:cantSplit/>
        </w:trPr>
        <w:tc>
          <w:tcPr>
            <w:tcW w:type="dxa" w:w="234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DEX/CEX liquidity + market making</w:t>
            </w:r>
          </w:p>
        </w:tc>
        <w:tc>
          <w:tcPr>
            <w:tcW w:type="dxa" w:w="234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240,000,000</w:t>
            </w:r>
          </w:p>
        </w:tc>
        <w:tc>
          <w:tcPr>
            <w:tcW w:type="dxa" w:w="234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23.762%</w:t>
            </w:r>
          </w:p>
        </w:tc>
        <w:tc>
          <w:tcPr>
            <w:tcW w:type="dxa" w:w="234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Liquidity, order books, market-making inventory, and market support</w:t>
            </w:r>
          </w:p>
        </w:tc>
      </w:tr>
      <w:tr>
        <w:trPr>
          <w:cantSplit/>
        </w:trPr>
        <w:tc>
          <w:tcPr>
            <w:tcW w:type="dxa" w:w="234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CEX listings / partners / BD / operations</w:t>
            </w:r>
          </w:p>
        </w:tc>
        <w:tc>
          <w:tcPr>
            <w:tcW w:type="dxa" w:w="234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160,000,000</w:t>
            </w:r>
          </w:p>
        </w:tc>
        <w:tc>
          <w:tcPr>
            <w:tcW w:type="dxa" w:w="234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15.842%</w:t>
            </w:r>
          </w:p>
        </w:tc>
        <w:tc>
          <w:tcPr>
            <w:tcW w:type="dxa" w:w="234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Listings, partnerships, business development, and launch operations</w:t>
            </w:r>
          </w:p>
        </w:tc>
      </w:tr>
      <w:tr>
        <w:trPr>
          <w:cantSplit/>
        </w:trPr>
        <w:tc>
          <w:tcPr>
            <w:tcW w:type="dxa" w:w="234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Treasury / reserve</w:t>
            </w:r>
          </w:p>
        </w:tc>
        <w:tc>
          <w:tcPr>
            <w:tcW w:type="dxa" w:w="234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130,000,000</w:t>
            </w:r>
          </w:p>
        </w:tc>
        <w:tc>
          <w:tcPr>
            <w:tcW w:type="dxa" w:w="234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12.871%</w:t>
            </w:r>
          </w:p>
        </w:tc>
        <w:tc>
          <w:tcPr>
            <w:tcW w:type="dxa" w:w="234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Strategic reserve and unforeseen needs</w:t>
            </w:r>
          </w:p>
        </w:tc>
      </w:tr>
      <w:tr>
        <w:trPr>
          <w:cantSplit/>
        </w:trPr>
        <w:tc>
          <w:tcPr>
            <w:tcW w:type="dxa" w:w="234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Team, locked vesting</w:t>
            </w:r>
          </w:p>
        </w:tc>
        <w:tc>
          <w:tcPr>
            <w:tcW w:type="dxa" w:w="234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100,000,000</w:t>
            </w:r>
          </w:p>
        </w:tc>
        <w:tc>
          <w:tcPr>
            <w:tcW w:type="dxa" w:w="234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9.901%</w:t>
            </w:r>
          </w:p>
        </w:tc>
        <w:tc>
          <w:tcPr>
            <w:tcW w:type="dxa" w:w="234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Team allocation under long vesting, not freely circulating at launch</w:t>
            </w:r>
          </w:p>
        </w:tc>
      </w:tr>
      <w:tr>
        <w:trPr>
          <w:cantSplit/>
        </w:trPr>
        <w:tc>
          <w:tcPr>
            <w:tcW w:type="dxa" w:w="234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Pre-DEX ONNE Point conversion</w:t>
            </w:r>
          </w:p>
        </w:tc>
        <w:tc>
          <w:tcPr>
            <w:tcW w:type="dxa" w:w="234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80,000,000</w:t>
            </w:r>
          </w:p>
        </w:tc>
        <w:tc>
          <w:tcPr>
            <w:tcW w:type="dxa" w:w="234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7.921%</w:t>
            </w:r>
          </w:p>
        </w:tc>
        <w:tc>
          <w:tcPr>
            <w:tcW w:type="dxa" w:w="234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Early-participation conversion pool with staged unlock and locked allocation</w:t>
            </w:r>
          </w:p>
        </w:tc>
      </w:tr>
    </w:tbl>
    <w:p>
      <w:pPr>
        <w:spacing w:after="40"/>
      </w:pPr>
    </w:p>
    <w:p>
      <w:pPr>
        <w:pStyle w:val="Heading1"/>
      </w:pPr>
      <w:r>
        <w:t>8. Circulation, liquidity, and unlocks</w:t>
      </w:r>
    </w:p>
    <w:p>
      <w:r>
        <w:t>Actual price, liquidity, available exchange routes, and fees are determined by current network, market, and provider conditions rather than historical planning figures. Total supply, allocation, reserves, liquidity, and circulating supply are different measures.</w:t>
      </w:r>
    </w:p>
    <w:tbl>
      <w:tblPr>
        <w:tblW w:type="auto" w:w="0"/>
        <w:jc w:val="center"/>
        <w:tblLayout w:type="fixed"/>
        <w:tblLook w:firstColumn="1" w:firstRow="1" w:lastColumn="0" w:lastRow="0" w:noHBand="0" w:noVBand="1" w:val="04A0"/>
      </w:tblPr>
      <w:tblGrid>
        <w:gridCol w:w="4680"/>
        <w:gridCol w:w="4680"/>
      </w:tblGrid>
      <w:tr>
        <w:trPr>
          <w:tblHeader w:val="true"/>
        </w:trPr>
        <w:tc>
          <w:tcPr>
            <w:tcW w:type="dxa" w:w="3384"/>
            <w:vAlign w:val="center"/>
            <w:shd w:fill="EAF3FA"/>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color w:val="1F4D78"/>
                <w:sz w:val="19"/>
              </w:rPr>
              <w:t>Metric</w:t>
            </w:r>
          </w:p>
        </w:tc>
        <w:tc>
          <w:tcPr>
            <w:tcW w:type="dxa" w:w="5976"/>
            <w:vAlign w:val="center"/>
            <w:shd w:fill="EAF3FA"/>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color w:val="1F4D78"/>
                <w:sz w:val="19"/>
              </w:rPr>
              <w:t>Current framework</w:t>
            </w:r>
          </w:p>
        </w:tc>
      </w:tr>
      <w:tr>
        <w:trPr>
          <w:cantSplit/>
        </w:trPr>
        <w:tc>
          <w:tcPr>
            <w:tcW w:type="dxa" w:w="468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Total supply</w:t>
            </w:r>
          </w:p>
        </w:tc>
        <w:tc>
          <w:tcPr>
            <w:tcW w:type="dxa" w:w="468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1,010,000,000 ONNE</w:t>
            </w:r>
          </w:p>
        </w:tc>
      </w:tr>
      <w:tr>
        <w:trPr>
          <w:cantSplit/>
        </w:trPr>
        <w:tc>
          <w:tcPr>
            <w:tcW w:type="dxa" w:w="468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Official contract</w:t>
            </w:r>
          </w:p>
        </w:tc>
        <w:tc>
          <w:tcPr>
            <w:tcW w:type="dxa" w:w="468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EQAhDhLYceb_BrItaTPK7U6Y4xLnEXsQO9iOILEz37CIcwFe</w:t>
            </w:r>
          </w:p>
        </w:tc>
      </w:tr>
      <w:tr>
        <w:trPr>
          <w:cantSplit/>
        </w:trPr>
        <w:tc>
          <w:tcPr>
            <w:tcW w:type="dxa" w:w="468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Historical ONNE Point denomination</w:t>
            </w:r>
          </w:p>
        </w:tc>
        <w:tc>
          <w:tcPr>
            <w:tcW w:type="dxa" w:w="468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215.551052515 ONNE Point = 1 ONNE</w:t>
            </w:r>
          </w:p>
        </w:tc>
      </w:tr>
      <w:tr>
        <w:trPr>
          <w:cantSplit/>
        </w:trPr>
        <w:tc>
          <w:tcPr>
            <w:tcW w:type="dxa" w:w="468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Market indicators</w:t>
            </w:r>
          </w:p>
        </w:tc>
        <w:tc>
          <w:tcPr>
            <w:tcW w:type="dxa" w:w="468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Check the current interface and the applicable network</w:t>
            </w:r>
          </w:p>
        </w:tc>
      </w:tr>
    </w:tbl>
    <w:p>
      <w:pPr>
        <w:spacing w:after="40"/>
      </w:pPr>
    </w:p>
    <w:p>
      <w:pPr>
        <w:pStyle w:val="ListBullet"/>
        <w:spacing w:after="80"/>
      </w:pPr>
      <w:r>
        <w:t>Early balances do not enter the market in a single event.</w:t>
      </w:r>
    </w:p>
    <w:p>
      <w:pPr>
        <w:pStyle w:val="ListBullet"/>
        <w:spacing w:after="80"/>
      </w:pPr>
      <w:r>
        <w:t>Access, staking, vesting, and unlock conditions are governed by the ecosystem rules in effect at that time.</w:t>
      </w:r>
    </w:p>
    <w:p>
      <w:pPr>
        <w:pStyle w:val="ListBullet"/>
        <w:spacing w:after="80"/>
      </w:pPr>
      <w:r>
        <w:t>Locked and reserve allocations should not be treated as freely circulating supply.</w:t>
      </w:r>
    </w:p>
    <w:p>
      <w:pPr>
        <w:pStyle w:val="ListBullet"/>
        <w:spacing w:after="80"/>
      </w:pPr>
      <w:r>
        <w:t>No figure in this document guarantees price, liquidity, income, or unchanged rules.</w:t>
      </w:r>
    </w:p>
    <w:p>
      <w:pPr>
        <w:pStyle w:val="Heading1"/>
      </w:pPr>
      <w:r>
        <w:t>9. Deflationary economy</w:t>
      </w:r>
    </w:p>
    <w:p>
      <w:r>
        <w:t>SpaceOnne combines several deflationary and supply-control mechanisms: ONNE spent on miners may be burned; ONNE in staking leaves free circulation for the duration of a position; early allocations are released gradually; and accepted content forms the digital asset that supports the token narrative.</w:t>
      </w:r>
    </w:p>
    <w:tbl>
      <w:tblPr>
        <w:tblW w:type="auto" w:w="0"/>
        <w:jc w:val="center"/>
        <w:tblLayout w:type="fixed"/>
        <w:tblLook w:firstColumn="1" w:firstRow="1" w:lastColumn="0" w:lastRow="0" w:noHBand="0" w:noVBand="1" w:val="04A0"/>
      </w:tblPr>
      <w:tblGrid>
        <w:gridCol w:w="4680"/>
        <w:gridCol w:w="4680"/>
      </w:tblGrid>
      <w:tr>
        <w:trPr>
          <w:tblHeader w:val="true"/>
        </w:trPr>
        <w:tc>
          <w:tcPr>
            <w:tcW w:type="dxa" w:w="2880"/>
            <w:vAlign w:val="center"/>
            <w:shd w:fill="EAF3FA"/>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color w:val="1F4D78"/>
                <w:sz w:val="19"/>
              </w:rPr>
              <w:t>Mechanism</w:t>
            </w:r>
          </w:p>
        </w:tc>
        <w:tc>
          <w:tcPr>
            <w:tcW w:type="dxa" w:w="6480"/>
            <w:vAlign w:val="center"/>
            <w:shd w:fill="EAF3FA"/>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color w:val="1F4D78"/>
                <w:sz w:val="19"/>
              </w:rPr>
              <w:t>Effect</w:t>
            </w:r>
          </w:p>
        </w:tc>
      </w:tr>
      <w:tr>
        <w:trPr>
          <w:cantSplit/>
        </w:trPr>
        <w:tc>
          <w:tcPr>
            <w:tcW w:type="dxa" w:w="468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Miner burn</w:t>
            </w:r>
          </w:p>
        </w:tc>
        <w:tc>
          <w:tcPr>
            <w:tcW w:type="dxa" w:w="468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ONNE spent to purchase miners may be burned, reducing available supply</w:t>
            </w:r>
          </w:p>
        </w:tc>
      </w:tr>
      <w:tr>
        <w:trPr>
          <w:cantSplit/>
        </w:trPr>
        <w:tc>
          <w:tcPr>
            <w:tcW w:type="dxa" w:w="468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Staking</w:t>
            </w:r>
          </w:p>
        </w:tc>
        <w:tc>
          <w:tcPr>
            <w:tcW w:type="dxa" w:w="468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ONNE locked in staking leaves free circulation for the duration of a position</w:t>
            </w:r>
          </w:p>
        </w:tc>
      </w:tr>
      <w:tr>
        <w:trPr>
          <w:cantSplit/>
        </w:trPr>
        <w:tc>
          <w:tcPr>
            <w:tcW w:type="dxa" w:w="468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Validation commission</w:t>
            </w:r>
          </w:p>
        </w:tc>
        <w:tc>
          <w:tcPr>
            <w:tcW w:type="dxa" w:w="468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Miners may receive commission for accepted validation when that mechanic is active</w:t>
            </w:r>
          </w:p>
        </w:tc>
      </w:tr>
      <w:tr>
        <w:trPr>
          <w:cantSplit/>
        </w:trPr>
        <w:tc>
          <w:tcPr>
            <w:tcW w:type="dxa" w:w="468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Content backing</w:t>
            </w:r>
          </w:p>
        </w:tc>
        <w:tc>
          <w:tcPr>
            <w:tcW w:type="dxa" w:w="468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Accepted supported cartographic content may become part of the digital-space asset</w:t>
            </w:r>
          </w:p>
        </w:tc>
      </w:tr>
      <w:tr>
        <w:trPr>
          <w:cantSplit/>
        </w:trPr>
        <w:tc>
          <w:tcPr>
            <w:tcW w:type="dxa" w:w="468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Measured unlocks</w:t>
            </w:r>
          </w:p>
        </w:tc>
        <w:tc>
          <w:tcPr>
            <w:tcW w:type="dxa" w:w="468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Early allocations are released under staged, liquidity-aware rules</w:t>
            </w:r>
          </w:p>
        </w:tc>
      </w:tr>
    </w:tbl>
    <w:p>
      <w:pPr>
        <w:spacing w:after="40"/>
      </w:pPr>
    </w:p>
    <w:p>
      <w:pPr>
        <w:pStyle w:val="Heading1"/>
      </w:pPr>
      <w:r>
        <w:t>10. Roadmap</w:t>
      </w:r>
    </w:p>
    <w:tbl>
      <w:tblPr>
        <w:tblW w:type="auto" w:w="0"/>
        <w:jc w:val="center"/>
        <w:tblLayout w:type="fixed"/>
        <w:tblLook w:firstColumn="1" w:firstRow="1" w:lastColumn="0" w:lastRow="0" w:noHBand="0" w:noVBand="1" w:val="04A0"/>
      </w:tblPr>
      <w:tblGrid>
        <w:gridCol w:w="3120"/>
        <w:gridCol w:w="3120"/>
        <w:gridCol w:w="3120"/>
      </w:tblGrid>
      <w:tr>
        <w:trPr>
          <w:tblHeader w:val="true"/>
        </w:trPr>
        <w:tc>
          <w:tcPr>
            <w:tcW w:type="dxa" w:w="2376"/>
            <w:vAlign w:val="center"/>
            <w:shd w:fill="EAF3FA"/>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color w:val="1F4D78"/>
                <w:sz w:val="19"/>
              </w:rPr>
              <w:t>Stage</w:t>
            </w:r>
          </w:p>
        </w:tc>
        <w:tc>
          <w:tcPr>
            <w:tcW w:type="dxa" w:w="2232"/>
            <w:vAlign w:val="center"/>
            <w:shd w:fill="EAF3FA"/>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color w:val="1F4D78"/>
                <w:sz w:val="19"/>
              </w:rPr>
              <w:t>Status</w:t>
            </w:r>
          </w:p>
        </w:tc>
        <w:tc>
          <w:tcPr>
            <w:tcW w:type="dxa" w:w="4752"/>
            <w:vAlign w:val="center"/>
            <w:shd w:fill="EAF3FA"/>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color w:val="1F4D78"/>
                <w:sz w:val="19"/>
              </w:rPr>
              <w:t>Focus</w:t>
            </w:r>
          </w:p>
        </w:tc>
      </w:tr>
      <w:tr>
        <w:trPr>
          <w:cantSplit/>
        </w:trPr>
        <w:tc>
          <w:tcPr>
            <w:tcW w:type="dxa" w:w="312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Free-distribution era</w:t>
            </w:r>
          </w:p>
        </w:tc>
        <w:tc>
          <w:tcPr>
            <w:tcW w:type="dxa" w:w="312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Completed</w:t>
            </w:r>
          </w:p>
        </w:tc>
        <w:tc>
          <w:tcPr>
            <w:tcW w:type="dxa" w:w="312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Early participation and internal ONNE Point balances</w:t>
            </w:r>
          </w:p>
        </w:tc>
      </w:tr>
      <w:tr>
        <w:trPr>
          <w:cantSplit/>
        </w:trPr>
        <w:tc>
          <w:tcPr>
            <w:tcW w:type="dxa" w:w="312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Protocol 101 and ONNE on TON</w:t>
            </w:r>
          </w:p>
        </w:tc>
        <w:tc>
          <w:tcPr>
            <w:tcW w:type="dxa" w:w="312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Launched / active layer</w:t>
            </w:r>
          </w:p>
        </w:tc>
        <w:tc>
          <w:tcPr>
            <w:tcW w:type="dxa" w:w="312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ONNE contract, wallet operations, staking mechanics, and miner utility</w:t>
            </w:r>
          </w:p>
        </w:tc>
      </w:tr>
      <w:tr>
        <w:trPr>
          <w:cantSplit/>
        </w:trPr>
        <w:tc>
          <w:tcPr>
            <w:tcW w:type="dxa" w:w="312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Staking</w:t>
            </w:r>
          </w:p>
        </w:tc>
        <w:tc>
          <w:tcPr>
            <w:tcW w:type="dxa" w:w="312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Active product layer</w:t>
            </w:r>
          </w:p>
        </w:tc>
        <w:tc>
          <w:tcPr>
            <w:tcW w:type="dxa" w:w="312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ONNE lock, reward logic by miner level, and supply control</w:t>
            </w:r>
          </w:p>
        </w:tc>
      </w:tr>
      <w:tr>
        <w:trPr>
          <w:cantSplit/>
        </w:trPr>
        <w:tc>
          <w:tcPr>
            <w:tcW w:type="dxa" w:w="312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Atlas / RWA</w:t>
            </w:r>
          </w:p>
        </w:tc>
        <w:tc>
          <w:tcPr>
            <w:tcW w:type="dxa" w:w="312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Staged development</w:t>
            </w:r>
          </w:p>
        </w:tc>
        <w:tc>
          <w:tcPr>
            <w:tcW w:type="dxa" w:w="312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Map and training workflows; capture, validation, publication, and rewards by readiness and location</w:t>
            </w:r>
          </w:p>
        </w:tc>
      </w:tr>
      <w:tr>
        <w:trPr>
          <w:cantSplit/>
        </w:trPr>
        <w:tc>
          <w:tcPr>
            <w:tcW w:type="dxa" w:w="312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Product surfaces</w:t>
            </w:r>
          </w:p>
        </w:tc>
        <w:tc>
          <w:tcPr>
            <w:tcW w:type="dxa" w:w="312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Available in stages</w:t>
            </w:r>
          </w:p>
        </w:tc>
        <w:tc>
          <w:tcPr>
            <w:tcW w:type="dxa" w:w="3120"/>
            <w:vAlign w:val="center"/>
            <w:tcBorders>
              <w:top w:val="single" w:sz="4" w:space="0" w:color="D7E2DE"/>
              <w:left w:val="single" w:sz="4" w:space="0" w:color="D7E2DE"/>
              <w:bottom w:val="single" w:sz="4" w:space="0" w:color="D7E2DE"/>
              <w:right w:val="single" w:sz="4" w:space="0" w:color="D7E2DE"/>
            </w:tcBorders>
          </w:tcPr>
          <w:p>
            <w:pPr>
              <w:spacing w:before="0" w:after="60"/>
            </w:pPr>
            <w:r>
              <w:rPr>
                <w:rFonts w:ascii="Calibri" w:hAnsi="Calibri"/>
                <w:b w:val="0"/>
                <w:color w:val="141F1D"/>
                <w:sz w:val="19"/>
              </w:rPr>
              <w:t>Web/PWA installable on iOS and Android, Telegram Mini App, and other supported channels</w:t>
            </w:r>
          </w:p>
        </w:tc>
      </w:tr>
    </w:tbl>
    <w:p>
      <w:pPr>
        <w:spacing w:after="40"/>
      </w:pPr>
    </w:p>
    <w:p>
      <w:pPr>
        <w:pStyle w:val="Heading1"/>
      </w:pPr>
      <w:r>
        <w:t>11. Security, compliance, and user responsibility</w:t>
      </w:r>
    </w:p>
    <w:p>
      <w:pPr>
        <w:pStyle w:val="ListBullet"/>
        <w:spacing w:after="80"/>
      </w:pPr>
      <w:r>
        <w:t>Sign-in and account protection may use the methods available in the interface, including codes, 2FA, passkeys, PIN, or device biometrics where supported.</w:t>
      </w:r>
    </w:p>
    <w:p>
      <w:pPr>
        <w:pStyle w:val="ListBullet"/>
        <w:spacing w:after="80"/>
      </w:pPr>
      <w:r>
        <w:t>A higher account level or access to a feature may depend on checks, conditions, and rules then in effect; the scope of a check is not guaranteed in advance.</w:t>
      </w:r>
    </w:p>
    <w:p>
      <w:pPr>
        <w:pStyle w:val="ListBullet"/>
        <w:spacing w:after="80"/>
      </w:pPr>
      <w:r>
        <w:t>Users are responsible for the legality of Atlas data capture, route safety, third-party rights, and compliance with local rules.</w:t>
      </w:r>
    </w:p>
    <w:p>
      <w:pPr>
        <w:pStyle w:val="ListBullet"/>
        <w:spacing w:after="80"/>
      </w:pPr>
      <w:r>
        <w:t>Deposits and withdrawals to external addresses require the correct network, token, address, and memo or comment where applicable.</w:t>
      </w:r>
    </w:p>
    <w:p>
      <w:pPr>
        <w:pStyle w:val="ListBullet"/>
        <w:spacing w:after="80"/>
      </w:pPr>
      <w:r>
        <w:t>Blockchain operations may be irreversible and may depend on external networks, validators, wallets, and infrastructure providers.</w:t>
      </w:r>
    </w:p>
    <w:p>
      <w:pPr>
        <w:pStyle w:val="ListBullet"/>
        <w:spacing w:after="80"/>
      </w:pPr>
      <w:r>
        <w:t>SpaceOnne materials describe product mechanics and do not constitute financial, investment, tax, legal, or accounting advice.</w:t>
      </w:r>
    </w:p>
    <w:p>
      <w:pPr>
        <w:pStyle w:val="ListBullet"/>
        <w:spacing w:after="80"/>
      </w:pPr>
      <w:r>
        <w:t>Access to features may be restricted for legal, sanctions, security, anti-fraud, technical, or provider-policy reasons.</w:t>
      </w:r>
    </w:p>
    <w:p>
      <w:pPr>
        <w:pStyle w:val="Heading1"/>
      </w:pPr>
      <w:r>
        <w:t>12. Conclusion</w:t>
      </w:r>
    </w:p>
    <w:p>
      <w:r>
        <w:t>SpaceOnne builds one environment in which cartographic contributions, a wallet, market tools, staking, and community features connect to the ONNE economy. Atlas is progressing toward a loop in which accepted useful work updates shared digital space and may take part in ONNE mechanics when those mechanics are activated.</w:t>
      </w:r>
    </w:p>
    <w:p>
      <w:r>
        <w:t>Use the platform’s official resources to confirm information, obtain support, and review current product rules.</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D6F6A"/>
        <w:sz w:val="17"/>
      </w:rPr>
      <w:t>Copyright 2026 SpaceOnne. Informational material, not financial advice.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color w:val="5D6F6A"/>
        <w:sz w:val="18"/>
      </w:rPr>
      <w:t>SpaceOnne Whitepaper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color w:val="141F1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B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B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en-US</dc:language>
  <dc:identifier>spaceonne-whitepaper-2026-09-11-1-en</dc:identifier>
</cp:coreProperties>
</file>